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274" w:rsidRDefault="00591274" w:rsidP="00591274">
      <w:pPr>
        <w:pStyle w:val="NoSpacing"/>
        <w:jc w:val="center"/>
        <w:rPr>
          <w:rStyle w:val="Heading1Char"/>
          <w:bCs w:val="0"/>
          <w:color w:val="1F497D"/>
          <w:u w:val="single"/>
        </w:rPr>
      </w:pPr>
      <w:bookmarkStart w:id="0" w:name="p1"/>
      <w:bookmarkStart w:id="1" w:name="_GoBack"/>
      <w:bookmarkEnd w:id="1"/>
      <w:r w:rsidRPr="00B30B1F">
        <w:rPr>
          <w:rStyle w:val="Heading1Char"/>
          <w:bCs w:val="0"/>
          <w:color w:val="1F497D"/>
          <w:u w:val="single"/>
        </w:rPr>
        <w:t>Technical information sheet for the proposed SDG indicator</w:t>
      </w:r>
    </w:p>
    <w:p w:rsidR="0031791A" w:rsidRPr="00B30B1F" w:rsidRDefault="0031791A" w:rsidP="00591274">
      <w:pPr>
        <w:pStyle w:val="NoSpacing"/>
        <w:jc w:val="center"/>
        <w:rPr>
          <w:rStyle w:val="Heading1Char"/>
          <w:bCs w:val="0"/>
          <w:color w:val="1F497D"/>
          <w:u w:val="single"/>
        </w:rPr>
      </w:pPr>
      <w:r>
        <w:rPr>
          <w:rStyle w:val="Heading1Char"/>
          <w:bCs w:val="0"/>
          <w:color w:val="1F497D"/>
          <w:u w:val="single"/>
        </w:rPr>
        <w:t>For Target 17.1</w:t>
      </w:r>
    </w:p>
    <w:p w:rsidR="00591274" w:rsidRPr="00B30B1F" w:rsidRDefault="00591274" w:rsidP="00591274">
      <w:pPr>
        <w:pStyle w:val="NoSpacing"/>
        <w:jc w:val="center"/>
        <w:rPr>
          <w:rStyle w:val="Heading1Char"/>
          <w:bCs w:val="0"/>
          <w:color w:val="1F497D"/>
        </w:rPr>
      </w:pPr>
    </w:p>
    <w:p w:rsidR="00591274" w:rsidRPr="00A855C3" w:rsidRDefault="00591274" w:rsidP="00EE20AB">
      <w:pPr>
        <w:pStyle w:val="NoSpacing"/>
        <w:jc w:val="both"/>
        <w:rPr>
          <w:rStyle w:val="Heading1Char"/>
          <w:b w:val="0"/>
          <w:bCs w:val="0"/>
          <w:color w:val="1F497D"/>
          <w:sz w:val="24"/>
        </w:rPr>
      </w:pPr>
      <w:r w:rsidRPr="00A855C3">
        <w:rPr>
          <w:rStyle w:val="Heading1Char"/>
          <w:sz w:val="24"/>
          <w:u w:val="single"/>
        </w:rPr>
        <w:t>Indicator</w:t>
      </w:r>
    </w:p>
    <w:p w:rsidR="00591274" w:rsidRDefault="00614299" w:rsidP="00591274">
      <w:pPr>
        <w:pStyle w:val="NoSpacing"/>
        <w:jc w:val="both"/>
      </w:pPr>
      <w:r w:rsidRPr="00614299">
        <w:t>Percentage of payments that are made electronically, by payment value and number of payment</w:t>
      </w:r>
      <w:r w:rsidR="00192079">
        <w:t>s</w:t>
      </w:r>
    </w:p>
    <w:p w:rsidR="00614299" w:rsidRPr="00B30B1F" w:rsidRDefault="00614299" w:rsidP="00591274">
      <w:pPr>
        <w:pStyle w:val="NoSpacing"/>
        <w:jc w:val="both"/>
        <w:rPr>
          <w:rFonts w:eastAsia="Times New Roman"/>
          <w:b/>
          <w:bCs/>
          <w:lang w:eastAsia="en-GB"/>
        </w:rPr>
      </w:pPr>
    </w:p>
    <w:p w:rsidR="00591274" w:rsidRPr="00A855C3" w:rsidRDefault="00591274" w:rsidP="00591274">
      <w:pPr>
        <w:pStyle w:val="NoSpacing"/>
        <w:jc w:val="both"/>
        <w:rPr>
          <w:rStyle w:val="Heading1Char"/>
          <w:sz w:val="24"/>
          <w:u w:val="single"/>
        </w:rPr>
      </w:pPr>
      <w:r w:rsidRPr="00A855C3">
        <w:rPr>
          <w:rStyle w:val="Heading1Char"/>
          <w:sz w:val="24"/>
          <w:u w:val="single"/>
        </w:rPr>
        <w:t xml:space="preserve">Goal and Target Addressed </w:t>
      </w:r>
      <w:bookmarkEnd w:id="0"/>
    </w:p>
    <w:p w:rsidR="00591274" w:rsidRPr="00E30414" w:rsidRDefault="00591274" w:rsidP="00591274">
      <w:pPr>
        <w:pStyle w:val="NoSpacing"/>
        <w:jc w:val="both"/>
        <w:rPr>
          <w:rFonts w:eastAsia="Times New Roman"/>
          <w:b/>
          <w:lang w:eastAsia="en-GB"/>
        </w:rPr>
      </w:pPr>
      <w:r w:rsidRPr="00A855C3">
        <w:rPr>
          <w:rFonts w:eastAsia="Times New Roman"/>
          <w:b/>
          <w:bCs/>
          <w:lang w:val="en-US" w:eastAsia="en-GB"/>
        </w:rPr>
        <w:t xml:space="preserve">Goal </w:t>
      </w:r>
      <w:r w:rsidR="00DC73FC" w:rsidRPr="00A855C3">
        <w:rPr>
          <w:rFonts w:eastAsia="Times New Roman"/>
          <w:b/>
          <w:bCs/>
          <w:lang w:val="en-US" w:eastAsia="en-GB"/>
        </w:rPr>
        <w:t>17: Strengthen the means of implementation and revitalize the global partnership for sustainable development</w:t>
      </w:r>
    </w:p>
    <w:p w:rsidR="00591274" w:rsidRPr="00B30B1F" w:rsidRDefault="00591274" w:rsidP="00591274">
      <w:pPr>
        <w:pStyle w:val="NoSpacing"/>
        <w:jc w:val="both"/>
        <w:rPr>
          <w:i/>
          <w:iCs/>
        </w:rPr>
      </w:pPr>
      <w:r w:rsidRPr="00A855C3">
        <w:rPr>
          <w:b/>
        </w:rPr>
        <w:t>Target</w:t>
      </w:r>
      <w:r w:rsidR="00DC73FC" w:rsidRPr="00A855C3">
        <w:rPr>
          <w:b/>
        </w:rPr>
        <w:t xml:space="preserve"> 17.1:</w:t>
      </w:r>
      <w:r>
        <w:t xml:space="preserve"> </w:t>
      </w:r>
      <w:r w:rsidR="00DC73FC" w:rsidRPr="00DC73FC">
        <w:t>Strengthen domestic resource mobilization, including through international support to developing countries, to improve domestic capacity for tax and other revenue collection</w:t>
      </w:r>
    </w:p>
    <w:p w:rsidR="00591274" w:rsidRPr="00B30B1F" w:rsidRDefault="00591274" w:rsidP="00591274">
      <w:pPr>
        <w:pStyle w:val="NoSpacing"/>
        <w:jc w:val="both"/>
        <w:rPr>
          <w:rStyle w:val="Heading1Char"/>
        </w:rPr>
      </w:pPr>
      <w:bookmarkStart w:id="2" w:name="p2"/>
    </w:p>
    <w:p w:rsidR="00591274" w:rsidRPr="00A855C3" w:rsidRDefault="00591274" w:rsidP="00591274">
      <w:pPr>
        <w:pStyle w:val="NoSpacing"/>
        <w:jc w:val="both"/>
        <w:rPr>
          <w:rStyle w:val="Heading1Char"/>
          <w:sz w:val="24"/>
          <w:u w:val="single"/>
          <w:lang w:eastAsia="en-GB"/>
        </w:rPr>
      </w:pPr>
      <w:r w:rsidRPr="00A855C3">
        <w:rPr>
          <w:rStyle w:val="Heading1Char"/>
          <w:sz w:val="24"/>
          <w:u w:val="single"/>
        </w:rPr>
        <w:t xml:space="preserve">Definition and Method of Computation </w:t>
      </w:r>
      <w:bookmarkEnd w:id="2"/>
    </w:p>
    <w:p w:rsidR="00591274" w:rsidRPr="00B30B1F" w:rsidRDefault="00E30414" w:rsidP="0031791A">
      <w:pPr>
        <w:pStyle w:val="NoSpacing"/>
        <w:rPr>
          <w:rFonts w:eastAsia="Times New Roman"/>
          <w:lang w:eastAsia="en-GB"/>
        </w:rPr>
      </w:pPr>
      <w:r>
        <w:rPr>
          <w:rFonts w:eastAsia="Times New Roman"/>
          <w:lang w:eastAsia="en-GB"/>
        </w:rPr>
        <w:t>T</w:t>
      </w:r>
      <w:r w:rsidR="0031791A">
        <w:rPr>
          <w:rFonts w:eastAsia="Times New Roman"/>
          <w:lang w:eastAsia="en-GB"/>
        </w:rPr>
        <w:t>his indicator r</w:t>
      </w:r>
      <w:r w:rsidR="00DC73FC" w:rsidRPr="00DC73FC">
        <w:rPr>
          <w:rFonts w:eastAsia="Times New Roman"/>
          <w:lang w:eastAsia="en-GB"/>
        </w:rPr>
        <w:t>epresents total payments made electronically whether to or from government, business, or persons by value relative to total value of payments (cash and electronic)</w:t>
      </w:r>
      <w:r w:rsidR="0031791A">
        <w:rPr>
          <w:rFonts w:eastAsia="Times New Roman"/>
          <w:lang w:eastAsia="en-GB"/>
        </w:rPr>
        <w:t xml:space="preserve"> and </w:t>
      </w:r>
      <w:r w:rsidR="00DC73FC" w:rsidRPr="00DC73FC">
        <w:rPr>
          <w:rFonts w:eastAsia="Times New Roman"/>
          <w:lang w:eastAsia="en-GB"/>
        </w:rPr>
        <w:t>by number of payments made relative to total number payments (cash and electronic)</w:t>
      </w:r>
    </w:p>
    <w:p w:rsidR="00E30414" w:rsidRDefault="00E30414" w:rsidP="00591274">
      <w:pPr>
        <w:pStyle w:val="NoSpacing"/>
        <w:jc w:val="both"/>
        <w:rPr>
          <w:rStyle w:val="Heading1Char"/>
          <w:sz w:val="24"/>
          <w:u w:val="single"/>
        </w:rPr>
      </w:pPr>
      <w:bookmarkStart w:id="3" w:name="p3"/>
    </w:p>
    <w:p w:rsidR="00591274" w:rsidRPr="00A855C3" w:rsidRDefault="00591274" w:rsidP="00591274">
      <w:pPr>
        <w:pStyle w:val="NoSpacing"/>
        <w:jc w:val="both"/>
        <w:rPr>
          <w:rStyle w:val="Heading1Char"/>
          <w:sz w:val="24"/>
          <w:u w:val="single"/>
        </w:rPr>
      </w:pPr>
      <w:r w:rsidRPr="00A855C3">
        <w:rPr>
          <w:rStyle w:val="Heading1Char"/>
          <w:sz w:val="24"/>
          <w:u w:val="single"/>
        </w:rPr>
        <w:t>Rationale and Interpretation</w:t>
      </w:r>
      <w:bookmarkEnd w:id="3"/>
    </w:p>
    <w:p w:rsidR="009F448F" w:rsidRDefault="00E30414" w:rsidP="00DC73FC">
      <w:pPr>
        <w:pStyle w:val="NoSpacing"/>
        <w:jc w:val="both"/>
      </w:pPr>
      <w:r>
        <w:t>W</w:t>
      </w:r>
      <w:r w:rsidR="00DC73FC">
        <w:t>hen payments are made electronically, costs are reduced and leakages minimized, resulting in greater resources available for government investment in priority areas.  In Mexico for example, paying salaries electronically has resulted in annual savings of 3.3% of its total expenditure on wages, pensions and social transfers (representing $1.27 billion per annum). Additionally, the shift to electronic payments contributes to formalization which enhances the tax base and domestic resource mobilization.</w:t>
      </w:r>
    </w:p>
    <w:p w:rsidR="00DC73FC" w:rsidRDefault="00DC73FC" w:rsidP="00DC73FC">
      <w:pPr>
        <w:pStyle w:val="NoSpacing"/>
        <w:jc w:val="both"/>
      </w:pPr>
    </w:p>
    <w:p w:rsidR="00591274" w:rsidRPr="00A855C3" w:rsidRDefault="00591274" w:rsidP="00591274">
      <w:pPr>
        <w:pStyle w:val="NoSpacing"/>
        <w:jc w:val="both"/>
        <w:rPr>
          <w:rStyle w:val="Heading1Char"/>
          <w:sz w:val="24"/>
          <w:u w:val="single"/>
        </w:rPr>
      </w:pPr>
      <w:r w:rsidRPr="00A855C3">
        <w:rPr>
          <w:rStyle w:val="Heading1Char"/>
          <w:bCs w:val="0"/>
          <w:sz w:val="24"/>
          <w:u w:val="single"/>
        </w:rPr>
        <w:t>Sources and Data Collection</w:t>
      </w:r>
    </w:p>
    <w:p w:rsidR="00591274" w:rsidRDefault="00591274" w:rsidP="00591274">
      <w:pPr>
        <w:pStyle w:val="NoSpacing"/>
        <w:jc w:val="both"/>
        <w:rPr>
          <w:rFonts w:eastAsia="Times New Roman"/>
          <w:lang w:eastAsia="en-GB"/>
        </w:rPr>
      </w:pPr>
    </w:p>
    <w:p w:rsidR="009832E9" w:rsidRDefault="00DB6293" w:rsidP="00DB6293">
      <w:pPr>
        <w:pStyle w:val="NoSpacing"/>
        <w:jc w:val="both"/>
        <w:rPr>
          <w:rFonts w:eastAsia="Times New Roman"/>
          <w:lang w:val="en-US" w:eastAsia="en-GB"/>
        </w:rPr>
      </w:pPr>
      <w:r>
        <w:rPr>
          <w:rFonts w:eastAsia="Times New Roman"/>
          <w:lang w:val="en-US" w:eastAsia="en-GB"/>
        </w:rPr>
        <w:t xml:space="preserve">The Better Than Cash Alliance has developed and beta-tested an electronic payments diagnostic tool that </w:t>
      </w:r>
      <w:r w:rsidRPr="00DB6293">
        <w:rPr>
          <w:rFonts w:eastAsia="Times New Roman"/>
          <w:lang w:val="en-US" w:eastAsia="en-GB"/>
        </w:rPr>
        <w:t>use</w:t>
      </w:r>
      <w:r>
        <w:rPr>
          <w:rFonts w:eastAsia="Times New Roman"/>
          <w:lang w:val="en-US" w:eastAsia="en-GB"/>
        </w:rPr>
        <w:t>s</w:t>
      </w:r>
      <w:r w:rsidRPr="00DB6293">
        <w:rPr>
          <w:rFonts w:eastAsia="Times New Roman"/>
          <w:lang w:val="en-US" w:eastAsia="en-GB"/>
        </w:rPr>
        <w:t xml:space="preserve"> good-practice, cost-effective approaches for measuring the baseline volumes, values and payment types for each payer-payee combination in the payment grid</w:t>
      </w:r>
      <w:r>
        <w:rPr>
          <w:rFonts w:eastAsia="Times New Roman"/>
          <w:lang w:val="en-US" w:eastAsia="en-GB"/>
        </w:rPr>
        <w:t xml:space="preserve">.  It will be available for public use as of June 2015.  </w:t>
      </w:r>
      <w:hyperlink r:id="rId5" w:history="1">
        <w:r w:rsidR="00004FEC" w:rsidRPr="00FA493F">
          <w:rPr>
            <w:rStyle w:val="Hyperlink"/>
            <w:rFonts w:eastAsia="Times New Roman"/>
            <w:lang w:eastAsia="en-GB"/>
          </w:rPr>
          <w:t>http://betterthancash.org/</w:t>
        </w:r>
      </w:hyperlink>
      <w:r w:rsidR="00004FEC">
        <w:rPr>
          <w:rFonts w:eastAsia="Times New Roman"/>
          <w:lang w:eastAsia="en-GB"/>
        </w:rPr>
        <w:t xml:space="preserve">  </w:t>
      </w:r>
    </w:p>
    <w:p w:rsidR="00DB6293" w:rsidRPr="00DB6293" w:rsidRDefault="00DB6293" w:rsidP="00DB6293">
      <w:pPr>
        <w:pStyle w:val="NoSpacing"/>
        <w:jc w:val="both"/>
        <w:rPr>
          <w:rFonts w:eastAsia="Times New Roman"/>
          <w:lang w:val="en-US" w:eastAsia="en-GB"/>
        </w:rPr>
      </w:pPr>
    </w:p>
    <w:p w:rsidR="00591274" w:rsidRPr="00A855C3" w:rsidRDefault="00591274" w:rsidP="00591274">
      <w:pPr>
        <w:pStyle w:val="NoSpacing"/>
        <w:jc w:val="both"/>
        <w:rPr>
          <w:rStyle w:val="Heading1Char"/>
          <w:sz w:val="24"/>
          <w:u w:val="single"/>
        </w:rPr>
      </w:pPr>
      <w:bookmarkStart w:id="4" w:name="p5"/>
      <w:r w:rsidRPr="00A855C3">
        <w:rPr>
          <w:rStyle w:val="Heading1Char"/>
          <w:sz w:val="24"/>
          <w:u w:val="single"/>
        </w:rPr>
        <w:t xml:space="preserve">Disaggregation </w:t>
      </w:r>
      <w:bookmarkEnd w:id="4"/>
    </w:p>
    <w:p w:rsidR="00591274" w:rsidRPr="00B30B1F" w:rsidRDefault="00591274" w:rsidP="00591274">
      <w:pPr>
        <w:pStyle w:val="NoSpacing"/>
        <w:jc w:val="both"/>
        <w:rPr>
          <w:rStyle w:val="Heading1Char"/>
        </w:rPr>
      </w:pPr>
      <w:bookmarkStart w:id="5" w:name="p6"/>
    </w:p>
    <w:p w:rsidR="00591274" w:rsidRPr="00A855C3" w:rsidRDefault="00591274" w:rsidP="00591274">
      <w:pPr>
        <w:pStyle w:val="NoSpacing"/>
        <w:jc w:val="both"/>
        <w:rPr>
          <w:rStyle w:val="Heading1Char"/>
          <w:sz w:val="24"/>
          <w:u w:val="single"/>
        </w:rPr>
      </w:pPr>
      <w:r w:rsidRPr="00A855C3">
        <w:rPr>
          <w:rStyle w:val="Heading1Char"/>
          <w:sz w:val="24"/>
          <w:u w:val="single"/>
        </w:rPr>
        <w:t xml:space="preserve">Comments and Limitations </w:t>
      </w:r>
      <w:bookmarkEnd w:id="5"/>
    </w:p>
    <w:p w:rsidR="00123BE1" w:rsidRPr="00B30B1F" w:rsidRDefault="00123BE1" w:rsidP="00591274">
      <w:pPr>
        <w:pStyle w:val="NoSpacing"/>
        <w:jc w:val="both"/>
        <w:rPr>
          <w:rStyle w:val="Heading1Char"/>
          <w:bCs w:val="0"/>
        </w:rPr>
      </w:pPr>
      <w:bookmarkStart w:id="6" w:name="p7"/>
    </w:p>
    <w:p w:rsidR="00591274" w:rsidRPr="00A855C3" w:rsidRDefault="00591274" w:rsidP="00591274">
      <w:pPr>
        <w:pStyle w:val="NoSpacing"/>
        <w:jc w:val="both"/>
        <w:rPr>
          <w:rStyle w:val="Heading1Char"/>
          <w:sz w:val="24"/>
          <w:u w:val="single"/>
        </w:rPr>
      </w:pPr>
      <w:r w:rsidRPr="00A855C3">
        <w:rPr>
          <w:rStyle w:val="Heading1Char"/>
          <w:bCs w:val="0"/>
          <w:sz w:val="24"/>
          <w:u w:val="single"/>
        </w:rPr>
        <w:t xml:space="preserve">Gender Equality Issues </w:t>
      </w:r>
      <w:bookmarkEnd w:id="6"/>
    </w:p>
    <w:p w:rsidR="00591274" w:rsidRPr="00B30B1F" w:rsidRDefault="00591274" w:rsidP="00591274">
      <w:pPr>
        <w:pStyle w:val="NoSpacing"/>
        <w:jc w:val="both"/>
        <w:rPr>
          <w:rFonts w:eastAsia="Times New Roman"/>
          <w:lang w:eastAsia="en-GB"/>
        </w:rPr>
      </w:pPr>
    </w:p>
    <w:p w:rsidR="00591274" w:rsidRPr="00A855C3" w:rsidRDefault="00591274" w:rsidP="00591274">
      <w:pPr>
        <w:pStyle w:val="NoSpacing"/>
        <w:jc w:val="both"/>
        <w:rPr>
          <w:rStyle w:val="Heading1Char"/>
          <w:sz w:val="24"/>
          <w:u w:val="single"/>
        </w:rPr>
      </w:pPr>
      <w:bookmarkStart w:id="7" w:name="p8"/>
      <w:r w:rsidRPr="00A855C3">
        <w:rPr>
          <w:rStyle w:val="Heading1Char"/>
          <w:sz w:val="24"/>
          <w:u w:val="single"/>
        </w:rPr>
        <w:t xml:space="preserve">Data for Global and Regional Monitoring </w:t>
      </w:r>
      <w:bookmarkEnd w:id="7"/>
    </w:p>
    <w:p w:rsidR="00591274" w:rsidRPr="00B30B1F" w:rsidRDefault="00591274" w:rsidP="00591274">
      <w:pPr>
        <w:pStyle w:val="NoSpacing"/>
        <w:jc w:val="both"/>
        <w:rPr>
          <w:rFonts w:eastAsia="Times New Roman"/>
          <w:lang w:eastAsia="en-GB"/>
        </w:rPr>
      </w:pPr>
    </w:p>
    <w:p w:rsidR="00591274" w:rsidRPr="00A855C3" w:rsidRDefault="00591274" w:rsidP="00591274">
      <w:pPr>
        <w:pStyle w:val="NoSpacing"/>
        <w:jc w:val="both"/>
        <w:rPr>
          <w:rStyle w:val="Heading1Char"/>
          <w:sz w:val="24"/>
          <w:u w:val="single"/>
        </w:rPr>
      </w:pPr>
      <w:r w:rsidRPr="00A855C3">
        <w:rPr>
          <w:rStyle w:val="Heading1Char"/>
          <w:sz w:val="24"/>
          <w:u w:val="single"/>
        </w:rPr>
        <w:t>Supplementary Information</w:t>
      </w:r>
    </w:p>
    <w:p w:rsidR="00591274" w:rsidRDefault="00591274" w:rsidP="00591274">
      <w:pPr>
        <w:pStyle w:val="NoSpacing"/>
        <w:jc w:val="both"/>
        <w:rPr>
          <w:rStyle w:val="Heading1Char"/>
          <w:b w:val="0"/>
          <w:color w:val="auto"/>
          <w:sz w:val="22"/>
          <w:szCs w:val="22"/>
        </w:rPr>
      </w:pPr>
    </w:p>
    <w:p w:rsidR="00DB6293" w:rsidRPr="00DB6293" w:rsidRDefault="00004FEC" w:rsidP="00591274">
      <w:pPr>
        <w:pStyle w:val="NoSpacing"/>
        <w:jc w:val="both"/>
        <w:rPr>
          <w:rStyle w:val="Heading1Char"/>
          <w:rFonts w:asciiTheme="minorHAnsi" w:hAnsiTheme="minorHAnsi"/>
          <w:b w:val="0"/>
          <w:color w:val="auto"/>
          <w:sz w:val="22"/>
          <w:szCs w:val="22"/>
        </w:rPr>
      </w:pPr>
      <w:r>
        <w:rPr>
          <w:rStyle w:val="Heading1Char"/>
          <w:rFonts w:asciiTheme="minorHAnsi" w:hAnsiTheme="minorHAnsi"/>
          <w:b w:val="0"/>
          <w:color w:val="auto"/>
          <w:sz w:val="22"/>
          <w:szCs w:val="22"/>
        </w:rPr>
        <w:t>The Bank for International Settlements periodically publishes t</w:t>
      </w:r>
      <w:r w:rsidRPr="00004FEC">
        <w:rPr>
          <w:rStyle w:val="Heading1Char"/>
          <w:rFonts w:asciiTheme="minorHAnsi" w:hAnsiTheme="minorHAnsi"/>
          <w:b w:val="0"/>
          <w:color w:val="auto"/>
          <w:sz w:val="22"/>
          <w:szCs w:val="22"/>
        </w:rPr>
        <w:t xml:space="preserve">he </w:t>
      </w:r>
      <w:r>
        <w:rPr>
          <w:rStyle w:val="Heading1Char"/>
          <w:rFonts w:asciiTheme="minorHAnsi" w:hAnsiTheme="minorHAnsi"/>
          <w:b w:val="0"/>
          <w:color w:val="auto"/>
          <w:sz w:val="22"/>
          <w:szCs w:val="22"/>
        </w:rPr>
        <w:t>“</w:t>
      </w:r>
      <w:r w:rsidRPr="00004FEC">
        <w:rPr>
          <w:rStyle w:val="Heading1Char"/>
          <w:rFonts w:asciiTheme="minorHAnsi" w:hAnsiTheme="minorHAnsi"/>
          <w:b w:val="0"/>
          <w:color w:val="auto"/>
          <w:sz w:val="22"/>
          <w:szCs w:val="22"/>
        </w:rPr>
        <w:t>Red Book</w:t>
      </w:r>
      <w:r>
        <w:rPr>
          <w:rStyle w:val="Heading1Char"/>
          <w:rFonts w:asciiTheme="minorHAnsi" w:hAnsiTheme="minorHAnsi"/>
          <w:b w:val="0"/>
          <w:color w:val="auto"/>
          <w:sz w:val="22"/>
          <w:szCs w:val="22"/>
        </w:rPr>
        <w:t>”</w:t>
      </w:r>
      <w:r w:rsidRPr="00004FEC">
        <w:rPr>
          <w:rStyle w:val="Heading1Char"/>
          <w:rFonts w:asciiTheme="minorHAnsi" w:hAnsiTheme="minorHAnsi"/>
          <w:b w:val="0"/>
          <w:color w:val="auto"/>
          <w:sz w:val="22"/>
          <w:szCs w:val="22"/>
        </w:rPr>
        <w:t xml:space="preserve"> on payment, clearing and settlement systems in the </w:t>
      </w:r>
      <w:r>
        <w:rPr>
          <w:rStyle w:val="Heading1Char"/>
          <w:rFonts w:asciiTheme="minorHAnsi" w:hAnsiTheme="minorHAnsi"/>
          <w:b w:val="0"/>
          <w:color w:val="auto"/>
          <w:sz w:val="22"/>
          <w:szCs w:val="22"/>
        </w:rPr>
        <w:t xml:space="preserve">24 </w:t>
      </w:r>
      <w:r w:rsidRPr="00004FEC">
        <w:rPr>
          <w:rStyle w:val="Heading1Char"/>
          <w:rFonts w:asciiTheme="minorHAnsi" w:hAnsiTheme="minorHAnsi"/>
          <w:b w:val="0"/>
          <w:color w:val="auto"/>
          <w:sz w:val="22"/>
          <w:szCs w:val="22"/>
        </w:rPr>
        <w:t>CPMI member countries</w:t>
      </w:r>
      <w:r>
        <w:rPr>
          <w:rStyle w:val="Heading1Char"/>
          <w:rFonts w:asciiTheme="minorHAnsi" w:hAnsiTheme="minorHAnsi"/>
          <w:b w:val="0"/>
          <w:color w:val="auto"/>
          <w:sz w:val="22"/>
          <w:szCs w:val="22"/>
        </w:rPr>
        <w:t xml:space="preserve"> (</w:t>
      </w:r>
      <w:hyperlink r:id="rId6" w:history="1">
        <w:r w:rsidRPr="00F06044">
          <w:rPr>
            <w:rStyle w:val="Hyperlink"/>
            <w:rFonts w:asciiTheme="minorHAnsi" w:eastAsia="SimSun" w:hAnsiTheme="minorHAnsi"/>
            <w:lang w:eastAsia="ja-JP"/>
          </w:rPr>
          <w:t>http://www.bis.org/cpmi/paysysinfo.htm</w:t>
        </w:r>
      </w:hyperlink>
      <w:r>
        <w:rPr>
          <w:rStyle w:val="Heading1Char"/>
          <w:rFonts w:asciiTheme="minorHAnsi" w:hAnsiTheme="minorHAnsi"/>
          <w:b w:val="0"/>
          <w:color w:val="auto"/>
          <w:sz w:val="22"/>
          <w:szCs w:val="22"/>
        </w:rPr>
        <w:t>).</w:t>
      </w:r>
      <w:r w:rsidRPr="00004FEC">
        <w:rPr>
          <w:rStyle w:val="Heading1Char"/>
          <w:rFonts w:asciiTheme="minorHAnsi" w:hAnsiTheme="minorHAnsi"/>
          <w:b w:val="0"/>
          <w:color w:val="auto"/>
          <w:sz w:val="22"/>
          <w:szCs w:val="22"/>
        </w:rPr>
        <w:t xml:space="preserve"> </w:t>
      </w:r>
      <w:r w:rsidR="00DB6293" w:rsidRPr="00DB6293">
        <w:rPr>
          <w:rStyle w:val="Heading1Char"/>
          <w:rFonts w:asciiTheme="minorHAnsi" w:hAnsiTheme="minorHAnsi"/>
          <w:b w:val="0"/>
          <w:color w:val="auto"/>
          <w:sz w:val="22"/>
          <w:szCs w:val="22"/>
        </w:rPr>
        <w:t>Regional</w:t>
      </w:r>
      <w:r w:rsidR="00DB6293">
        <w:rPr>
          <w:rStyle w:val="Heading1Char"/>
          <w:rFonts w:asciiTheme="minorHAnsi" w:hAnsiTheme="minorHAnsi"/>
          <w:b w:val="0"/>
          <w:color w:val="auto"/>
          <w:sz w:val="22"/>
          <w:szCs w:val="22"/>
        </w:rPr>
        <w:t xml:space="preserve"> data based on country estimates are also available through the World Bank </w:t>
      </w:r>
      <w:r w:rsidR="00E41DE0">
        <w:t xml:space="preserve">Global Payment Systems Survey, but country level data is not </w:t>
      </w:r>
      <w:r>
        <w:t xml:space="preserve">publicly </w:t>
      </w:r>
      <w:r w:rsidR="00E41DE0">
        <w:t>available</w:t>
      </w:r>
      <w:r>
        <w:t xml:space="preserve"> </w:t>
      </w:r>
      <w:r>
        <w:lastRenderedPageBreak/>
        <w:t>(</w:t>
      </w:r>
      <w:hyperlink r:id="rId7" w:history="1">
        <w:r w:rsidRPr="00F06044">
          <w:rPr>
            <w:rStyle w:val="Hyperlink"/>
          </w:rPr>
          <w:t>http://siteresources.worldbank.org/FINANCIALSECTOR/Resources/282044-1323805522895/121534_text_corrections_3-15.pdf</w:t>
        </w:r>
      </w:hyperlink>
      <w:r>
        <w:t>)</w:t>
      </w:r>
      <w:r w:rsidR="00E41DE0">
        <w:t>.</w:t>
      </w:r>
      <w:r w:rsidR="00DB6293" w:rsidRPr="00DB6293">
        <w:rPr>
          <w:rStyle w:val="Heading1Char"/>
          <w:rFonts w:asciiTheme="minorHAnsi" w:hAnsiTheme="minorHAnsi"/>
          <w:b w:val="0"/>
          <w:color w:val="auto"/>
          <w:sz w:val="22"/>
          <w:szCs w:val="22"/>
        </w:rPr>
        <w:t xml:space="preserve"> </w:t>
      </w:r>
    </w:p>
    <w:p w:rsidR="00DB6293" w:rsidRPr="00B30B1F" w:rsidRDefault="00DB6293" w:rsidP="00591274">
      <w:pPr>
        <w:pStyle w:val="NoSpacing"/>
        <w:jc w:val="both"/>
        <w:rPr>
          <w:rStyle w:val="Heading1Char"/>
        </w:rPr>
      </w:pPr>
    </w:p>
    <w:p w:rsidR="00591274" w:rsidRPr="00A855C3" w:rsidRDefault="00591274" w:rsidP="00591274">
      <w:pPr>
        <w:pStyle w:val="NoSpacing"/>
        <w:jc w:val="both"/>
        <w:rPr>
          <w:rStyle w:val="Heading1Char"/>
          <w:sz w:val="24"/>
          <w:u w:val="single"/>
        </w:rPr>
      </w:pPr>
      <w:r w:rsidRPr="00A855C3">
        <w:rPr>
          <w:rStyle w:val="Heading1Char"/>
          <w:sz w:val="24"/>
          <w:u w:val="single"/>
        </w:rPr>
        <w:t>Examples</w:t>
      </w:r>
    </w:p>
    <w:p w:rsidR="00591274" w:rsidRPr="00B30B1F" w:rsidRDefault="00591274" w:rsidP="00591274">
      <w:pPr>
        <w:pStyle w:val="NoSpacing"/>
        <w:jc w:val="both"/>
        <w:rPr>
          <w:rStyle w:val="Heading1Char"/>
        </w:rPr>
      </w:pPr>
    </w:p>
    <w:p w:rsidR="00591274" w:rsidRPr="00A855C3" w:rsidRDefault="00591274" w:rsidP="00591274">
      <w:pPr>
        <w:pStyle w:val="NoSpacing"/>
        <w:jc w:val="both"/>
        <w:rPr>
          <w:rStyle w:val="Heading1Char"/>
          <w:sz w:val="24"/>
          <w:u w:val="single"/>
        </w:rPr>
      </w:pPr>
      <w:r w:rsidRPr="00A855C3">
        <w:rPr>
          <w:rStyle w:val="Heading1Char"/>
          <w:sz w:val="24"/>
          <w:u w:val="single"/>
        </w:rPr>
        <w:t>References</w:t>
      </w:r>
    </w:p>
    <w:p w:rsidR="00591274" w:rsidRPr="00B30B1F" w:rsidRDefault="00DB6293" w:rsidP="00591274">
      <w:pPr>
        <w:pStyle w:val="NoSpacing"/>
        <w:jc w:val="both"/>
      </w:pPr>
      <w:r>
        <w:rPr>
          <w:rFonts w:eastAsia="Times New Roman"/>
          <w:lang w:eastAsia="en-GB"/>
        </w:rPr>
        <w:t xml:space="preserve">See the Better Than Cash Alliance Website for the tool and guidance: </w:t>
      </w:r>
      <w:hyperlink r:id="rId8" w:history="1">
        <w:r w:rsidRPr="00FA493F">
          <w:rPr>
            <w:rStyle w:val="Hyperlink"/>
            <w:rFonts w:eastAsia="Times New Roman"/>
            <w:lang w:eastAsia="en-GB"/>
          </w:rPr>
          <w:t>http://betterthancash.org/</w:t>
        </w:r>
      </w:hyperlink>
      <w:r>
        <w:rPr>
          <w:rFonts w:eastAsia="Times New Roman"/>
          <w:lang w:eastAsia="en-GB"/>
        </w:rPr>
        <w:t xml:space="preserve">  </w:t>
      </w:r>
      <w:r w:rsidR="00591274" w:rsidRPr="00B30B1F">
        <w:rPr>
          <w:rFonts w:eastAsia="Times New Roman"/>
          <w:lang w:eastAsia="en-GB"/>
        </w:rPr>
        <w:br/>
      </w:r>
    </w:p>
    <w:p w:rsidR="00591274" w:rsidRDefault="00591274"/>
    <w:sectPr w:rsidR="005912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274"/>
    <w:rsid w:val="00004FEC"/>
    <w:rsid w:val="000767D6"/>
    <w:rsid w:val="00123BE1"/>
    <w:rsid w:val="00192079"/>
    <w:rsid w:val="00273FED"/>
    <w:rsid w:val="0027734D"/>
    <w:rsid w:val="003022FA"/>
    <w:rsid w:val="0031791A"/>
    <w:rsid w:val="00452809"/>
    <w:rsid w:val="004F4A77"/>
    <w:rsid w:val="005711E2"/>
    <w:rsid w:val="00591274"/>
    <w:rsid w:val="00614299"/>
    <w:rsid w:val="007D7E76"/>
    <w:rsid w:val="008F0481"/>
    <w:rsid w:val="00930A07"/>
    <w:rsid w:val="009832E9"/>
    <w:rsid w:val="0098364B"/>
    <w:rsid w:val="009F448F"/>
    <w:rsid w:val="00A855C3"/>
    <w:rsid w:val="00A96668"/>
    <w:rsid w:val="00C21E76"/>
    <w:rsid w:val="00DB6293"/>
    <w:rsid w:val="00DC73FC"/>
    <w:rsid w:val="00E30414"/>
    <w:rsid w:val="00E41DE0"/>
    <w:rsid w:val="00EE2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paragraph" w:styleId="BalloonText">
    <w:name w:val="Balloon Text"/>
    <w:basedOn w:val="Normal"/>
    <w:link w:val="BalloonTextChar"/>
    <w:uiPriority w:val="99"/>
    <w:semiHidden/>
    <w:unhideWhenUsed/>
    <w:rsid w:val="009832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32E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91274"/>
    <w:pPr>
      <w:keepNext/>
      <w:keepLines/>
      <w:spacing w:before="480" w:after="0" w:line="240" w:lineRule="auto"/>
      <w:outlineLvl w:val="0"/>
    </w:pPr>
    <w:rPr>
      <w:rFonts w:ascii="Cambria" w:eastAsia="SimSun" w:hAnsi="Cambria" w:cs="Times New Roman"/>
      <w:b/>
      <w:bCs/>
      <w:color w:val="365F91"/>
      <w:sz w:val="28"/>
      <w:szCs w:val="28"/>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274"/>
    <w:rPr>
      <w:rFonts w:ascii="Cambria" w:eastAsia="SimSun" w:hAnsi="Cambria" w:cs="Times New Roman"/>
      <w:b/>
      <w:bCs/>
      <w:color w:val="365F91"/>
      <w:sz w:val="28"/>
      <w:szCs w:val="28"/>
      <w:lang w:val="en-GB" w:eastAsia="ja-JP"/>
    </w:rPr>
  </w:style>
  <w:style w:type="character" w:styleId="Hyperlink">
    <w:name w:val="Hyperlink"/>
    <w:unhideWhenUsed/>
    <w:rsid w:val="00591274"/>
    <w:rPr>
      <w:color w:val="0000FF"/>
      <w:u w:val="single"/>
    </w:rPr>
  </w:style>
  <w:style w:type="paragraph" w:styleId="NoSpacing">
    <w:name w:val="No Spacing"/>
    <w:uiPriority w:val="1"/>
    <w:qFormat/>
    <w:rsid w:val="00591274"/>
    <w:pPr>
      <w:spacing w:after="0" w:line="240" w:lineRule="auto"/>
    </w:pPr>
    <w:rPr>
      <w:rFonts w:ascii="Calibri" w:eastAsia="Calibri" w:hAnsi="Calibri" w:cs="Times New Roman"/>
      <w:lang w:val="en-GB"/>
    </w:rPr>
  </w:style>
  <w:style w:type="paragraph" w:styleId="BalloonText">
    <w:name w:val="Balloon Text"/>
    <w:basedOn w:val="Normal"/>
    <w:link w:val="BalloonTextChar"/>
    <w:uiPriority w:val="99"/>
    <w:semiHidden/>
    <w:unhideWhenUsed/>
    <w:rsid w:val="009832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32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5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etterthancash.org/" TargetMode="External"/><Relationship Id="rId3" Type="http://schemas.openxmlformats.org/officeDocument/2006/relationships/settings" Target="settings.xml"/><Relationship Id="rId7" Type="http://schemas.openxmlformats.org/officeDocument/2006/relationships/hyperlink" Target="http://siteresources.worldbank.org/FINANCIALSECTOR/Resources/282044-1323805522895/121534_text_corrections_3-15.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bis.org/cpmi/paysysinfo.htm" TargetMode="External"/><Relationship Id="rId5" Type="http://schemas.openxmlformats.org/officeDocument/2006/relationships/hyperlink" Target="http://betterthancash.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Darah Aljoudar</dc:creator>
  <cp:lastModifiedBy>Benjamin Rae</cp:lastModifiedBy>
  <cp:revision>2</cp:revision>
  <cp:lastPrinted>2015-05-15T19:20:00Z</cp:lastPrinted>
  <dcterms:created xsi:type="dcterms:W3CDTF">2015-05-18T16:34:00Z</dcterms:created>
  <dcterms:modified xsi:type="dcterms:W3CDTF">2015-05-18T16:34:00Z</dcterms:modified>
</cp:coreProperties>
</file>